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F086B" w14:textId="1C38D93B" w:rsidR="001C3E23" w:rsidRDefault="00B73D87" w:rsidP="007C72A5">
      <w:pPr>
        <w:rPr>
          <w:noProof/>
        </w:rPr>
      </w:pPr>
      <w:r w:rsidRPr="00B73D87">
        <w:rPr>
          <w:b/>
          <w:bCs/>
          <w:sz w:val="28"/>
          <w:szCs w:val="28"/>
        </w:rPr>
        <w:t>BETATRON CASE STUDY – Construction</w:t>
      </w:r>
    </w:p>
    <w:p w14:paraId="2BC0C60B" w14:textId="435415C8" w:rsidR="00B73D87" w:rsidRDefault="00B73D87" w:rsidP="007C72A5">
      <w:pPr>
        <w:rPr>
          <w:noProof/>
        </w:rPr>
      </w:pPr>
      <w:r>
        <w:rPr>
          <w:noProof/>
        </w:rPr>
        <w:drawing>
          <wp:inline distT="0" distB="0" distL="0" distR="0" wp14:anchorId="2DDD892E" wp14:editId="50AD2E69">
            <wp:extent cx="5284470" cy="2987487"/>
            <wp:effectExtent l="0" t="0" r="0" b="3810"/>
            <wp:docPr id="160406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01298" cy="2997000"/>
                    </a:xfrm>
                    <a:prstGeom prst="rect">
                      <a:avLst/>
                    </a:prstGeom>
                    <a:noFill/>
                  </pic:spPr>
                </pic:pic>
              </a:graphicData>
            </a:graphic>
          </wp:inline>
        </w:drawing>
      </w:r>
    </w:p>
    <w:p w14:paraId="42AEAE1B" w14:textId="77777777" w:rsidR="00B73D87" w:rsidRDefault="00B73D87" w:rsidP="00B73D87">
      <w:r>
        <w:t>BRIDGE INSPECTION USING THE JME BETATRON SYSTEM</w:t>
      </w:r>
    </w:p>
    <w:p w14:paraId="12DE43C5" w14:textId="54555EF1" w:rsidR="00B73D87" w:rsidRDefault="00B73D87" w:rsidP="00B73D87">
      <w:r>
        <w:t xml:space="preserve">In March 2019, JME were tasked with supporting an inspection company in Italy to perform X-Rays of a road bridge in an area notorious for earthquakes. After the Morandi bridge collapse in Genoa in 2018, large scale discussions took place to determine the extent of the potential problems other structures could face </w:t>
      </w:r>
      <w:r>
        <w:t>because of</w:t>
      </w:r>
      <w:r>
        <w:t xml:space="preserve"> an increase in pollution, corrosion, vehicle traffic, geological factors and poor maintenance schedules.</w:t>
      </w:r>
    </w:p>
    <w:p w14:paraId="73DA8B9E" w14:textId="6A28257B" w:rsidR="00B73D87" w:rsidRDefault="00B73D87" w:rsidP="00B73D87">
      <w:r>
        <w:t>The Morandi bridge was a new breed of structure, constructed pretty much solely of pre-stressed concrete, and as a result required substantially less steel cabling than previous structures. This was originally billed as a maintenance free method of construction, and as a result, thousands of bridges, viaducts and tunnels were constructed in a similar manner.</w:t>
      </w:r>
    </w:p>
    <w:p w14:paraId="6DC25D09" w14:textId="77777777" w:rsidR="00B73D87" w:rsidRDefault="00B73D87" w:rsidP="00B73D87">
      <w:r>
        <w:t>Bringing us forward to the current day, many of these structures are still yet to be inspected 100%, ultimately raising questions as to whether there are going to be repeats of the Morandi bridge collapse. JME delivered their 7.5 MeV Portable Betatron system to a small village north of Rome, and supported the inspection company, alongside the digital panel supplier in successfully carrying out over 120 individual exposures on concrete thicknesses ranging from 300 – 1100 mm’s. Using this system, the inspection company were able to evaluate, not only the presence of the steel cables within the concrete, but take accurate measurements of its thickness, determine its integrity, and ultimately prove whether the structure was safe.</w:t>
      </w:r>
    </w:p>
    <w:p w14:paraId="1BCD1BF3" w14:textId="77777777" w:rsidR="00B73D87" w:rsidRDefault="00B73D87" w:rsidP="00B73D87">
      <w:r>
        <w:t>The portability of the Betatron system, coupled with its high energy output puts it in a position of being the only X-Ray source capable of performing this kind of inspection. Using an underbridge inspection platform, the Betatron system and digital panel were mounted in their specially designed fixtures and lowered into position under the bridge superstructure.</w:t>
      </w:r>
    </w:p>
    <w:p w14:paraId="30506B5C" w14:textId="7C414500" w:rsidR="00B73D87" w:rsidRDefault="00B73D87" w:rsidP="00B73D87">
      <w:r>
        <w:t xml:space="preserve">The JME 7.5MeV Betatron system comes equipped with a wireless control panel and handset, with an </w:t>
      </w:r>
      <w:r w:rsidR="001451CF">
        <w:t>open-air</w:t>
      </w:r>
      <w:r>
        <w:t xml:space="preserve"> range of 3km, meaning exclusion zones present no operational issues as well as an increase in safety for operators.</w:t>
      </w:r>
    </w:p>
    <w:p w14:paraId="18336C29" w14:textId="77777777" w:rsidR="00B73D87" w:rsidRDefault="00B73D87" w:rsidP="00B73D87"/>
    <w:p w14:paraId="07C91C2B" w14:textId="7FA6BA0A" w:rsidR="00B73D87" w:rsidRDefault="001451CF" w:rsidP="00B73D87">
      <w:r>
        <w:rPr>
          <w:noProof/>
        </w:rPr>
        <w:lastRenderedPageBreak/>
        <w:drawing>
          <wp:inline distT="0" distB="0" distL="0" distR="0" wp14:anchorId="4465283C" wp14:editId="00FE8EE0">
            <wp:extent cx="5547360" cy="2377440"/>
            <wp:effectExtent l="0" t="0" r="0" b="3810"/>
            <wp:docPr id="595822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4998" cy="2380713"/>
                    </a:xfrm>
                    <a:prstGeom prst="rect">
                      <a:avLst/>
                    </a:prstGeom>
                    <a:noFill/>
                  </pic:spPr>
                </pic:pic>
              </a:graphicData>
            </a:graphic>
          </wp:inline>
        </w:drawing>
      </w:r>
    </w:p>
    <w:p w14:paraId="494A44BC" w14:textId="77777777" w:rsidR="00B73D87" w:rsidRDefault="00B73D87" w:rsidP="00B73D87"/>
    <w:p w14:paraId="3767A7A2" w14:textId="45E931D9" w:rsidR="00B73D87" w:rsidRDefault="00B73D87" w:rsidP="00B73D87">
      <w:r>
        <w:t xml:space="preserve">JME Portable X-Ray Betatron (PXB) systems are compact circular electron accelerators producing a high energy directional X-Ray beam. They </w:t>
      </w:r>
      <w:r w:rsidR="001451CF">
        <w:t>can produce</w:t>
      </w:r>
      <w:r>
        <w:t xml:space="preserve"> radiographs of very high contrast, sensitivity and resolution, allowing operators to meet the tightest inspection standards. Betatron systems are easy to assemble, operate and maintain, containing no moving parts or cooling liquids. </w:t>
      </w:r>
      <w:r w:rsidR="001451CF">
        <w:t>So,</w:t>
      </w:r>
      <w:r>
        <w:t xml:space="preserve"> maintenance required on the systems is minimal.</w:t>
      </w:r>
    </w:p>
    <w:p w14:paraId="18CC4597" w14:textId="77777777" w:rsidR="00B73D87" w:rsidRDefault="00B73D87" w:rsidP="00B73D87">
      <w:r>
        <w:t>JME’s PXB:7.5 Betatron has a maximum energy of 7.5MeV, with a variable output from 2Mev through to the maximum energy, adjustments can be made in 0.1MeV increments. The systems offer cost savings and a greater degree of portability when compared with Linac generators and provide greater flexibility for more mobile inspection tasks.</w:t>
      </w:r>
    </w:p>
    <w:p w14:paraId="5AB9DB62" w14:textId="77777777" w:rsidR="00B73D87" w:rsidRDefault="00B73D87" w:rsidP="00B73D87">
      <w:r>
        <w:t>PXB7.5M BETATRON TECHNICAL SPECIFICATION</w:t>
      </w:r>
    </w:p>
    <w:p w14:paraId="272234D7" w14:textId="53EB4ADF" w:rsidR="00B73D87" w:rsidRDefault="00B73D87" w:rsidP="00B73D87">
      <w:r>
        <w:t>Peak X-Ray Output</w:t>
      </w:r>
      <w:r>
        <w:tab/>
      </w:r>
      <w:r w:rsidR="001451CF">
        <w:tab/>
      </w:r>
      <w:r>
        <w:t>2 to 7.5MeV</w:t>
      </w:r>
    </w:p>
    <w:p w14:paraId="6651E7B5" w14:textId="04A41E8A" w:rsidR="00B73D87" w:rsidRDefault="00B73D87" w:rsidP="00B73D87">
      <w:r>
        <w:t>Dose rate @ 1m</w:t>
      </w:r>
      <w:r w:rsidR="001451CF">
        <w:tab/>
      </w:r>
      <w:r>
        <w:tab/>
        <w:t>&gt;5R/minute</w:t>
      </w:r>
    </w:p>
    <w:p w14:paraId="6F32EF28" w14:textId="1984162D" w:rsidR="00B73D87" w:rsidRDefault="00B73D87" w:rsidP="00B73D87">
      <w:r>
        <w:t>Focal Spot Size</w:t>
      </w:r>
      <w:r>
        <w:tab/>
      </w:r>
      <w:r w:rsidR="001451CF">
        <w:tab/>
      </w:r>
      <w:r w:rsidR="001451CF">
        <w:tab/>
      </w:r>
      <w:r>
        <w:t>0.3 x 3mm</w:t>
      </w:r>
    </w:p>
    <w:p w14:paraId="100DBAA9" w14:textId="77777777" w:rsidR="00B73D87" w:rsidRDefault="00B73D87" w:rsidP="00B73D87">
      <w:r>
        <w:t>Duty Cycle Radiation Beam</w:t>
      </w:r>
      <w:r>
        <w:tab/>
        <w:t>75% per hour</w:t>
      </w:r>
    </w:p>
    <w:p w14:paraId="79BE92DF" w14:textId="7B538759" w:rsidR="00B73D87" w:rsidRDefault="00B73D87" w:rsidP="00B73D87">
      <w:r>
        <w:t>Beam Coverage</w:t>
      </w:r>
      <w:r>
        <w:tab/>
      </w:r>
      <w:r w:rsidR="001451CF">
        <w:tab/>
      </w:r>
      <w:r>
        <w:t>250 x 250mm @1m</w:t>
      </w:r>
    </w:p>
    <w:p w14:paraId="1F157F08" w14:textId="77777777" w:rsidR="00B73D87" w:rsidRDefault="00B73D87" w:rsidP="00B73D87">
      <w:r>
        <w:t>Radiographic Sensitivity</w:t>
      </w:r>
      <w:r>
        <w:tab/>
        <w:t>Down to 1%</w:t>
      </w:r>
    </w:p>
    <w:p w14:paraId="16B71FDD" w14:textId="13B10237" w:rsidR="00B73D87" w:rsidRDefault="00B73D87" w:rsidP="00B73D87">
      <w:r>
        <w:t>Supply Voltage</w:t>
      </w:r>
      <w:r>
        <w:tab/>
      </w:r>
      <w:r w:rsidR="001451CF">
        <w:tab/>
      </w:r>
      <w:r w:rsidR="001451CF">
        <w:tab/>
      </w:r>
      <w:r>
        <w:t>Single-phase, 110V or 220V, 50/60Hz</w:t>
      </w:r>
    </w:p>
    <w:p w14:paraId="0A4E1F7B" w14:textId="77777777" w:rsidR="00B73D87" w:rsidRDefault="00B73D87" w:rsidP="00B73D87">
      <w:r>
        <w:t>Adjustment range of energy</w:t>
      </w:r>
      <w:r>
        <w:tab/>
        <w:t>2.0 to 7.5MeV in 0.1MeV increments</w:t>
      </w:r>
    </w:p>
    <w:p w14:paraId="721A5C04" w14:textId="08AEA265" w:rsidR="00B73D87" w:rsidRDefault="00B73D87" w:rsidP="00B73D87">
      <w:r>
        <w:t>Power Consumption</w:t>
      </w:r>
      <w:r>
        <w:tab/>
      </w:r>
      <w:r w:rsidR="001451CF">
        <w:tab/>
      </w:r>
      <w:r>
        <w:t>3.0kW (13.6A @220V, 27A @ 110V)</w:t>
      </w:r>
    </w:p>
    <w:p w14:paraId="7848F757" w14:textId="77777777" w:rsidR="00B73D87" w:rsidRPr="001451CF" w:rsidRDefault="00B73D87" w:rsidP="00B73D87">
      <w:pPr>
        <w:rPr>
          <w:i/>
          <w:iCs/>
        </w:rPr>
      </w:pPr>
      <w:r w:rsidRPr="001451CF">
        <w:rPr>
          <w:i/>
          <w:iCs/>
        </w:rPr>
        <w:t>Single or Three Phase available upon request</w:t>
      </w:r>
    </w:p>
    <w:p w14:paraId="2245C868" w14:textId="77777777" w:rsidR="00B73D87" w:rsidRDefault="00B73D87" w:rsidP="00B73D87">
      <w:r>
        <w:t>DIMENSIONS AND WEIGHT</w:t>
      </w:r>
    </w:p>
    <w:p w14:paraId="6A2604BC" w14:textId="2E98A8D3" w:rsidR="00B73D87" w:rsidRDefault="00B73D87" w:rsidP="00B73D87">
      <w:r>
        <w:t>Accelerator (Radiator)</w:t>
      </w:r>
      <w:r>
        <w:tab/>
      </w:r>
      <w:r w:rsidR="001451CF">
        <w:tab/>
      </w:r>
      <w:r>
        <w:t>600 x 400 x 230</w:t>
      </w:r>
      <w:r>
        <w:tab/>
        <w:t>109kg</w:t>
      </w:r>
    </w:p>
    <w:p w14:paraId="4F90A106" w14:textId="7D049091" w:rsidR="00B73D87" w:rsidRDefault="00B73D87" w:rsidP="00B73D87">
      <w:r>
        <w:t>PSU</w:t>
      </w:r>
      <w:r>
        <w:tab/>
      </w:r>
      <w:r w:rsidR="001451CF">
        <w:tab/>
      </w:r>
      <w:r w:rsidR="001451CF">
        <w:tab/>
      </w:r>
      <w:r w:rsidR="001451CF">
        <w:tab/>
      </w:r>
      <w:r>
        <w:t>590 x 380 x 360</w:t>
      </w:r>
      <w:r>
        <w:tab/>
        <w:t>60kg</w:t>
      </w:r>
    </w:p>
    <w:p w14:paraId="7A7E3F43" w14:textId="132B040F" w:rsidR="00B73D87" w:rsidRDefault="00B73D87" w:rsidP="00B73D87">
      <w:r>
        <w:t>Control panel</w:t>
      </w:r>
      <w:r>
        <w:tab/>
      </w:r>
      <w:r w:rsidR="001451CF">
        <w:tab/>
      </w:r>
      <w:r w:rsidR="001451CF">
        <w:tab/>
      </w:r>
      <w:r>
        <w:t>130 x 200 x 30</w:t>
      </w:r>
      <w:r>
        <w:tab/>
        <w:t>0.5kg</w:t>
      </w:r>
    </w:p>
    <w:p w14:paraId="759A1D5B" w14:textId="43470E1C" w:rsidR="001451CF" w:rsidRDefault="001451CF" w:rsidP="00B73D87">
      <w:r>
        <w:rPr>
          <w:noProof/>
        </w:rPr>
        <w:lastRenderedPageBreak/>
        <w:drawing>
          <wp:inline distT="0" distB="0" distL="0" distR="0" wp14:anchorId="4D00A321" wp14:editId="1E944D77">
            <wp:extent cx="5276850" cy="2174062"/>
            <wp:effectExtent l="0" t="0" r="0" b="0"/>
            <wp:docPr id="1423519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7309" cy="2178371"/>
                    </a:xfrm>
                    <a:prstGeom prst="rect">
                      <a:avLst/>
                    </a:prstGeom>
                    <a:noFill/>
                  </pic:spPr>
                </pic:pic>
              </a:graphicData>
            </a:graphic>
          </wp:inline>
        </w:drawing>
      </w:r>
    </w:p>
    <w:sectPr w:rsidR="001451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66D90"/>
    <w:multiLevelType w:val="hybridMultilevel"/>
    <w:tmpl w:val="00D07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F452E5"/>
    <w:multiLevelType w:val="hybridMultilevel"/>
    <w:tmpl w:val="B13E2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E5D411E"/>
    <w:multiLevelType w:val="hybridMultilevel"/>
    <w:tmpl w:val="AE8CE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3747510">
    <w:abstractNumId w:val="1"/>
  </w:num>
  <w:num w:numId="2" w16cid:durableId="1380590320">
    <w:abstractNumId w:val="0"/>
  </w:num>
  <w:num w:numId="3" w16cid:durableId="7542838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2A5"/>
    <w:rsid w:val="001451CF"/>
    <w:rsid w:val="001C3E23"/>
    <w:rsid w:val="004276A5"/>
    <w:rsid w:val="006645D5"/>
    <w:rsid w:val="007456D2"/>
    <w:rsid w:val="007C72A5"/>
    <w:rsid w:val="007E6790"/>
    <w:rsid w:val="008166D5"/>
    <w:rsid w:val="00B73D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80AD1"/>
  <w15:chartTrackingRefBased/>
  <w15:docId w15:val="{EBF52616-565C-4C6E-A4C8-FB75BAE75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72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72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72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72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72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72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72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72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72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2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72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72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72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72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72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72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72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72A5"/>
    <w:rPr>
      <w:rFonts w:eastAsiaTheme="majorEastAsia" w:cstheme="majorBidi"/>
      <w:color w:val="272727" w:themeColor="text1" w:themeTint="D8"/>
    </w:rPr>
  </w:style>
  <w:style w:type="paragraph" w:styleId="Title">
    <w:name w:val="Title"/>
    <w:basedOn w:val="Normal"/>
    <w:next w:val="Normal"/>
    <w:link w:val="TitleChar"/>
    <w:uiPriority w:val="10"/>
    <w:qFormat/>
    <w:rsid w:val="007C72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72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72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72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72A5"/>
    <w:pPr>
      <w:spacing w:before="160"/>
      <w:jc w:val="center"/>
    </w:pPr>
    <w:rPr>
      <w:i/>
      <w:iCs/>
      <w:color w:val="404040" w:themeColor="text1" w:themeTint="BF"/>
    </w:rPr>
  </w:style>
  <w:style w:type="character" w:customStyle="1" w:styleId="QuoteChar">
    <w:name w:val="Quote Char"/>
    <w:basedOn w:val="DefaultParagraphFont"/>
    <w:link w:val="Quote"/>
    <w:uiPriority w:val="29"/>
    <w:rsid w:val="007C72A5"/>
    <w:rPr>
      <w:i/>
      <w:iCs/>
      <w:color w:val="404040" w:themeColor="text1" w:themeTint="BF"/>
    </w:rPr>
  </w:style>
  <w:style w:type="paragraph" w:styleId="ListParagraph">
    <w:name w:val="List Paragraph"/>
    <w:basedOn w:val="Normal"/>
    <w:uiPriority w:val="34"/>
    <w:qFormat/>
    <w:rsid w:val="007C72A5"/>
    <w:pPr>
      <w:ind w:left="720"/>
      <w:contextualSpacing/>
    </w:pPr>
  </w:style>
  <w:style w:type="character" w:styleId="IntenseEmphasis">
    <w:name w:val="Intense Emphasis"/>
    <w:basedOn w:val="DefaultParagraphFont"/>
    <w:uiPriority w:val="21"/>
    <w:qFormat/>
    <w:rsid w:val="007C72A5"/>
    <w:rPr>
      <w:i/>
      <w:iCs/>
      <w:color w:val="0F4761" w:themeColor="accent1" w:themeShade="BF"/>
    </w:rPr>
  </w:style>
  <w:style w:type="paragraph" w:styleId="IntenseQuote">
    <w:name w:val="Intense Quote"/>
    <w:basedOn w:val="Normal"/>
    <w:next w:val="Normal"/>
    <w:link w:val="IntenseQuoteChar"/>
    <w:uiPriority w:val="30"/>
    <w:qFormat/>
    <w:rsid w:val="007C72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72A5"/>
    <w:rPr>
      <w:i/>
      <w:iCs/>
      <w:color w:val="0F4761" w:themeColor="accent1" w:themeShade="BF"/>
    </w:rPr>
  </w:style>
  <w:style w:type="character" w:styleId="IntenseReference">
    <w:name w:val="Intense Reference"/>
    <w:basedOn w:val="DefaultParagraphFont"/>
    <w:uiPriority w:val="32"/>
    <w:qFormat/>
    <w:rsid w:val="007C72A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530</Words>
  <Characters>3023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Martin</dc:creator>
  <cp:keywords/>
  <dc:description/>
  <cp:lastModifiedBy>David Martin</cp:lastModifiedBy>
  <cp:revision>3</cp:revision>
  <dcterms:created xsi:type="dcterms:W3CDTF">2026-05-04T02:29:00Z</dcterms:created>
  <dcterms:modified xsi:type="dcterms:W3CDTF">2026-05-04T02:33:00Z</dcterms:modified>
</cp:coreProperties>
</file>